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C39CB3" w14:textId="77777777" w:rsidR="00001CA4" w:rsidRDefault="0000000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Validazione Fiocchi</w:t>
      </w:r>
    </w:p>
    <w:p w14:paraId="195F222C" w14:textId="77777777" w:rsidR="00001CA4" w:rsidRDefault="00000000">
      <w:pPr>
        <w:jc w:val="both"/>
      </w:pPr>
      <w:r>
        <w:t xml:space="preserve">I fiocchi fibrorinforzati alloggiati in appositi fori all’interno delle travi che garantiscono l’ancoraggio del rinforzo sul calcestruzzo. </w:t>
      </w:r>
    </w:p>
    <w:p w14:paraId="71AEACBA" w14:textId="77777777" w:rsidR="00001CA4" w:rsidRDefault="00000000">
      <w:r>
        <w:t xml:space="preserve">Le formule adottate si basano sullo studio effettuato da del Rey Castillo et al., 2019 e 2018 </w:t>
      </w:r>
      <w:r>
        <w:rPr>
          <w:vertAlign w:val="superscript"/>
        </w:rPr>
        <w:t>[A][B]</w:t>
      </w:r>
      <w:r>
        <w:t xml:space="preserve"> che considera diversi possibili meccanismi di crisi dell’ancoraggio.  </w:t>
      </w:r>
    </w:p>
    <w:p w14:paraId="552544FE" w14:textId="77777777" w:rsidR="00001CA4" w:rsidRDefault="00000000">
      <w:r>
        <w:t xml:space="preserve">In particolare, in accordo con i meccanismi di crisi comunemente riscontrabili negli ancoraggi in calcestruzzo, vengono contemplate le seguenti modalità di crisi, con le corrispondenti resistenze : </w:t>
      </w:r>
    </w:p>
    <w:p w14:paraId="11D4B3FF" w14:textId="77777777" w:rsidR="00001CA4" w:rsidRDefault="00000000">
      <w:pPr>
        <w:pStyle w:val="Paragrafoelenco"/>
        <w:numPr>
          <w:ilvl w:val="0"/>
          <w:numId w:val="1"/>
        </w:numPr>
      </w:pPr>
      <w:r>
        <w:t>Tranciamento fibre del fiocco (V</w:t>
      </w:r>
      <w:r>
        <w:rPr>
          <w:vertAlign w:val="subscript"/>
        </w:rPr>
        <w:t>fr</w:t>
      </w:r>
      <w:r>
        <w:t>)</w:t>
      </w:r>
    </w:p>
    <w:p w14:paraId="2809EA72" w14:textId="77777777" w:rsidR="00001CA4" w:rsidRDefault="00000000">
      <w:pPr>
        <w:pStyle w:val="Paragrafoelenco"/>
        <w:numPr>
          <w:ilvl w:val="0"/>
          <w:numId w:val="1"/>
        </w:numPr>
      </w:pPr>
      <w:r>
        <w:t>Distacco del cono di calcestruzzo (N</w:t>
      </w:r>
      <w:r>
        <w:rPr>
          <w:vertAlign w:val="subscript"/>
        </w:rPr>
        <w:t>cc</w:t>
      </w:r>
      <w:r>
        <w:t>)</w:t>
      </w:r>
    </w:p>
    <w:p w14:paraId="1F73E2B8" w14:textId="77777777" w:rsidR="00001CA4" w:rsidRDefault="00000000">
      <w:pPr>
        <w:pStyle w:val="Paragrafoelenco"/>
        <w:numPr>
          <w:ilvl w:val="0"/>
          <w:numId w:val="1"/>
        </w:numPr>
      </w:pPr>
      <w:r>
        <w:t>Mista per distacco del cono di calcestruzzo e per aderenza (N</w:t>
      </w:r>
      <w:r>
        <w:rPr>
          <w:vertAlign w:val="subscript"/>
        </w:rPr>
        <w:t>cb</w:t>
      </w:r>
      <w:r>
        <w:t>)</w:t>
      </w:r>
    </w:p>
    <w:p w14:paraId="3BCD7560" w14:textId="77777777" w:rsidR="00001CA4" w:rsidRDefault="00000000">
      <w:pPr>
        <w:pStyle w:val="Paragrafoelenco"/>
        <w:numPr>
          <w:ilvl w:val="0"/>
          <w:numId w:val="1"/>
        </w:numPr>
      </w:pPr>
      <w:r>
        <w:t>Sfilamento dell’ancoraggio (N</w:t>
      </w:r>
      <w:r>
        <w:rPr>
          <w:vertAlign w:val="subscript"/>
        </w:rPr>
        <w:t>po</w:t>
      </w:r>
      <w:r>
        <w:t>):</w:t>
      </w:r>
    </w:p>
    <w:p w14:paraId="541CB71F" w14:textId="77777777" w:rsidR="00001CA4" w:rsidRDefault="00000000">
      <w:pPr>
        <w:pStyle w:val="Paragrafoelenco"/>
        <w:numPr>
          <w:ilvl w:val="0"/>
          <w:numId w:val="1"/>
        </w:numPr>
      </w:pPr>
      <w:r>
        <w:t>Delaminazione di interfaccia tra fiocco e tessuto in FRP (N</w:t>
      </w:r>
      <w:r>
        <w:rPr>
          <w:vertAlign w:val="subscript"/>
        </w:rPr>
        <w:t>sd</w:t>
      </w:r>
      <w:r>
        <w:t>):</w:t>
      </w:r>
    </w:p>
    <w:p w14:paraId="6CA9F288" w14:textId="77777777" w:rsidR="00001CA4" w:rsidRDefault="00000000">
      <w:r>
        <w:rPr>
          <w:noProof/>
        </w:rPr>
        <w:drawing>
          <wp:inline distT="0" distB="0" distL="0" distR="0" wp14:anchorId="24F68485" wp14:editId="2046AE39">
            <wp:extent cx="6120130" cy="339153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391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A362E" w14:textId="77777777" w:rsidR="00001CA4" w:rsidRDefault="00000000">
      <w:r>
        <w:rPr>
          <w:rFonts w:ascii="Calibri" w:hAnsi="Calibri" w:cstheme="minorHAnsi"/>
          <w:sz w:val="26"/>
          <w:szCs w:val="26"/>
        </w:rPr>
        <w:t>La resistenza dell’ancoraggio è la minima tre le resistenze sopra elencate:</w:t>
      </w:r>
    </w:p>
    <w:p w14:paraId="3E8D5668" w14:textId="77777777" w:rsidR="00001CA4" w:rsidRDefault="00000000">
      <w:pPr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N</w:t>
      </w:r>
      <w:r>
        <w:rPr>
          <w:rFonts w:ascii="Calibri" w:hAnsi="Calibri"/>
          <w:sz w:val="26"/>
          <w:szCs w:val="26"/>
          <w:vertAlign w:val="subscript"/>
        </w:rPr>
        <w:t>min</w:t>
      </w:r>
      <w:r>
        <w:rPr>
          <w:rFonts w:ascii="Calibri" w:hAnsi="Calibri"/>
          <w:sz w:val="26"/>
          <w:szCs w:val="26"/>
        </w:rPr>
        <w:t>=min(N</w:t>
      </w:r>
      <w:r>
        <w:rPr>
          <w:rFonts w:ascii="Calibri" w:hAnsi="Calibri"/>
          <w:sz w:val="26"/>
          <w:szCs w:val="26"/>
          <w:vertAlign w:val="subscript"/>
        </w:rPr>
        <w:t xml:space="preserve">fr </w:t>
      </w:r>
      <w:r>
        <w:rPr>
          <w:rFonts w:ascii="Calibri" w:hAnsi="Calibri"/>
          <w:sz w:val="26"/>
          <w:szCs w:val="26"/>
        </w:rPr>
        <w:t>,N</w:t>
      </w:r>
      <w:r>
        <w:rPr>
          <w:rFonts w:ascii="Calibri" w:hAnsi="Calibri"/>
          <w:sz w:val="26"/>
          <w:szCs w:val="26"/>
          <w:vertAlign w:val="subscript"/>
        </w:rPr>
        <w:t>cc</w:t>
      </w:r>
      <w:r>
        <w:rPr>
          <w:rFonts w:ascii="Calibri" w:hAnsi="Calibri"/>
          <w:sz w:val="26"/>
          <w:szCs w:val="26"/>
        </w:rPr>
        <w:t xml:space="preserve"> ,N</w:t>
      </w:r>
      <w:r>
        <w:rPr>
          <w:rFonts w:ascii="Calibri" w:hAnsi="Calibri"/>
          <w:sz w:val="26"/>
          <w:szCs w:val="26"/>
          <w:vertAlign w:val="subscript"/>
        </w:rPr>
        <w:t>cb</w:t>
      </w:r>
      <w:r>
        <w:rPr>
          <w:rFonts w:ascii="Calibri" w:hAnsi="Calibri"/>
          <w:sz w:val="26"/>
          <w:szCs w:val="26"/>
        </w:rPr>
        <w:t xml:space="preserve"> ,N</w:t>
      </w:r>
      <w:r>
        <w:rPr>
          <w:rFonts w:ascii="Calibri" w:hAnsi="Calibri"/>
          <w:sz w:val="26"/>
          <w:szCs w:val="26"/>
          <w:vertAlign w:val="subscript"/>
        </w:rPr>
        <w:t>po</w:t>
      </w:r>
      <w:r>
        <w:rPr>
          <w:rFonts w:ascii="Calibri" w:hAnsi="Calibri"/>
          <w:sz w:val="26"/>
          <w:szCs w:val="26"/>
        </w:rPr>
        <w:t xml:space="preserve"> , N</w:t>
      </w:r>
      <w:r>
        <w:rPr>
          <w:rFonts w:ascii="Calibri" w:hAnsi="Calibri"/>
          <w:sz w:val="26"/>
          <w:szCs w:val="26"/>
          <w:vertAlign w:val="subscript"/>
        </w:rPr>
        <w:t>sd</w:t>
      </w:r>
      <w:r>
        <w:rPr>
          <w:rFonts w:ascii="Calibri" w:hAnsi="Calibri"/>
          <w:sz w:val="26"/>
          <w:szCs w:val="26"/>
        </w:rPr>
        <w:t xml:space="preserve"> )</w:t>
      </w:r>
    </w:p>
    <w:p w14:paraId="4F38A980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Il calcolo delle singole resistenze, espresse in Newton, è effettuato con le seguenti formule:</w:t>
      </w:r>
    </w:p>
    <w:p w14:paraId="4BCB658C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N</w:t>
      </w:r>
      <w:r>
        <w:rPr>
          <w:rFonts w:cstheme="minorHAnsi"/>
          <w:sz w:val="24"/>
          <w:szCs w:val="24"/>
          <w:vertAlign w:val="subscript"/>
        </w:rPr>
        <w:t>fr</w:t>
      </w:r>
      <w:r>
        <w:rPr>
          <w:rFonts w:cstheme="minorHAnsi"/>
          <w:sz w:val="24"/>
          <w:szCs w:val="24"/>
        </w:rPr>
        <w:t xml:space="preserve"> = k</w:t>
      </w:r>
      <w:r>
        <w:rPr>
          <w:rFonts w:cstheme="minorHAnsi"/>
          <w:sz w:val="24"/>
          <w:szCs w:val="24"/>
          <w:vertAlign w:val="subscript"/>
        </w:rPr>
        <w:t xml:space="preserve">1 </w:t>
      </w:r>
      <w:r>
        <w:rPr>
          <w:rFonts w:cstheme="minorHAnsi"/>
          <w:sz w:val="24"/>
          <w:szCs w:val="24"/>
        </w:rPr>
        <w:t>f</w:t>
      </w:r>
      <w:r>
        <w:rPr>
          <w:rFonts w:cstheme="minorHAnsi"/>
          <w:sz w:val="24"/>
          <w:szCs w:val="24"/>
          <w:vertAlign w:val="subscript"/>
        </w:rPr>
        <w:t>fu</w:t>
      </w:r>
      <w:r>
        <w:rPr>
          <w:rFonts w:cstheme="minorHAnsi"/>
          <w:sz w:val="24"/>
          <w:szCs w:val="24"/>
        </w:rPr>
        <w:t xml:space="preserve"> A</w:t>
      </w:r>
      <w:r>
        <w:rPr>
          <w:rFonts w:cstheme="minorHAnsi"/>
          <w:sz w:val="24"/>
          <w:szCs w:val="24"/>
          <w:vertAlign w:val="superscript"/>
        </w:rPr>
        <w:t>0.62</w:t>
      </w:r>
      <w:r>
        <w:rPr>
          <w:rFonts w:cstheme="minorHAnsi"/>
          <w:sz w:val="24"/>
          <w:szCs w:val="24"/>
        </w:rPr>
        <w:t xml:space="preserve"> (1 – α / 180)     [A](5) e [A](7)</w:t>
      </w:r>
    </w:p>
    <w:p w14:paraId="550381BA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N</w:t>
      </w:r>
      <w:r>
        <w:rPr>
          <w:rFonts w:cstheme="minorHAnsi"/>
          <w:sz w:val="24"/>
          <w:szCs w:val="24"/>
          <w:vertAlign w:val="subscript"/>
        </w:rPr>
        <w:t>cc</w:t>
      </w:r>
      <w:r>
        <w:rPr>
          <w:rFonts w:cstheme="minorHAnsi"/>
          <w:sz w:val="24"/>
          <w:szCs w:val="24"/>
        </w:rPr>
        <w:t xml:space="preserve"> = 9,68 L</w:t>
      </w:r>
      <w:r>
        <w:rPr>
          <w:rFonts w:cstheme="minorHAnsi"/>
          <w:sz w:val="24"/>
          <w:szCs w:val="24"/>
          <w:vertAlign w:val="subscript"/>
        </w:rPr>
        <w:t>i</w:t>
      </w:r>
      <w:r>
        <w:rPr>
          <w:rFonts w:cstheme="minorHAnsi"/>
          <w:sz w:val="24"/>
          <w:szCs w:val="24"/>
          <w:vertAlign w:val="superscript"/>
        </w:rPr>
        <w:t>2</w:t>
      </w:r>
      <w:r>
        <w:rPr>
          <w:rFonts w:cstheme="minorHAnsi"/>
          <w:sz w:val="24"/>
          <w:szCs w:val="24"/>
        </w:rPr>
        <w:t xml:space="preserve"> f</w:t>
      </w:r>
      <w:r>
        <w:rPr>
          <w:rFonts w:cstheme="minorHAnsi"/>
          <w:sz w:val="24"/>
          <w:szCs w:val="24"/>
          <w:vertAlign w:val="subscript"/>
        </w:rPr>
        <w:t>cm</w:t>
      </w:r>
      <w:r>
        <w:rPr>
          <w:rFonts w:cstheme="minorHAnsi"/>
          <w:sz w:val="24"/>
          <w:szCs w:val="24"/>
          <w:vertAlign w:val="superscript"/>
        </w:rPr>
        <w:t>½</w:t>
      </w:r>
      <w:r>
        <w:rPr>
          <w:rFonts w:cstheme="minorHAnsi"/>
          <w:sz w:val="24"/>
          <w:szCs w:val="24"/>
        </w:rPr>
        <w:t xml:space="preserve">                     [A](9)</w:t>
      </w:r>
    </w:p>
    <w:p w14:paraId="02949C8F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N</w:t>
      </w:r>
      <w:r>
        <w:rPr>
          <w:rFonts w:cstheme="minorHAnsi"/>
          <w:sz w:val="24"/>
          <w:szCs w:val="24"/>
          <w:vertAlign w:val="subscript"/>
        </w:rPr>
        <w:t>cb</w:t>
      </w:r>
      <w:r>
        <w:rPr>
          <w:rFonts w:cstheme="minorHAnsi"/>
          <w:sz w:val="24"/>
          <w:szCs w:val="24"/>
        </w:rPr>
        <w:t xml:space="preserve"> = k</w:t>
      </w:r>
      <w:r>
        <w:rPr>
          <w:rFonts w:cstheme="minorHAnsi"/>
          <w:sz w:val="24"/>
          <w:szCs w:val="24"/>
          <w:vertAlign w:val="subscript"/>
        </w:rPr>
        <w:t>2</w:t>
      </w:r>
      <w:r>
        <w:rPr>
          <w:rFonts w:cstheme="minorHAnsi"/>
          <w:sz w:val="24"/>
          <w:szCs w:val="24"/>
        </w:rPr>
        <w:t xml:space="preserve"> π L</w:t>
      </w:r>
      <w:r>
        <w:rPr>
          <w:rFonts w:cstheme="minorHAnsi"/>
          <w:sz w:val="24"/>
          <w:szCs w:val="24"/>
          <w:vertAlign w:val="subscript"/>
        </w:rPr>
        <w:t>i</w:t>
      </w:r>
      <w:r>
        <w:rPr>
          <w:rFonts w:cstheme="minorHAnsi"/>
          <w:sz w:val="24"/>
          <w:szCs w:val="24"/>
        </w:rPr>
        <w:t xml:space="preserve"> d</w:t>
      </w:r>
      <w:r>
        <w:rPr>
          <w:rFonts w:cstheme="minorHAnsi"/>
          <w:sz w:val="24"/>
          <w:szCs w:val="24"/>
          <w:vertAlign w:val="subscript"/>
        </w:rPr>
        <w:t>o</w:t>
      </w:r>
      <w:r>
        <w:rPr>
          <w:rFonts w:cstheme="minorHAnsi"/>
          <w:sz w:val="24"/>
          <w:szCs w:val="24"/>
        </w:rPr>
        <w:t xml:space="preserve">                           [A](12) e [A](13)</w:t>
      </w:r>
    </w:p>
    <w:p w14:paraId="1A46C137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N</w:t>
      </w:r>
      <w:r>
        <w:rPr>
          <w:rFonts w:cstheme="minorHAnsi"/>
          <w:sz w:val="24"/>
          <w:szCs w:val="24"/>
          <w:vertAlign w:val="subscript"/>
        </w:rPr>
        <w:t>po</w:t>
      </w:r>
      <w:r>
        <w:rPr>
          <w:rFonts w:cstheme="minorHAnsi"/>
          <w:sz w:val="24"/>
          <w:szCs w:val="24"/>
        </w:rPr>
        <w:t xml:space="preserve"> = 1000 ( 0,7 L</w:t>
      </w:r>
      <w:r>
        <w:rPr>
          <w:rFonts w:cstheme="minorHAnsi"/>
          <w:sz w:val="24"/>
          <w:szCs w:val="24"/>
          <w:vertAlign w:val="subscript"/>
        </w:rPr>
        <w:t>i</w:t>
      </w:r>
      <w:r>
        <w:rPr>
          <w:rFonts w:cstheme="minorHAnsi"/>
          <w:sz w:val="24"/>
          <w:szCs w:val="24"/>
        </w:rPr>
        <w:t xml:space="preserve"> – 18)             [B](4)</w:t>
      </w:r>
    </w:p>
    <w:p w14:paraId="276F155B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   N</w:t>
      </w:r>
      <w:r>
        <w:rPr>
          <w:rFonts w:cstheme="minorHAnsi"/>
          <w:sz w:val="24"/>
          <w:szCs w:val="24"/>
          <w:vertAlign w:val="subscript"/>
        </w:rPr>
        <w:t>sd</w:t>
      </w:r>
      <w:r>
        <w:rPr>
          <w:rFonts w:cstheme="minorHAnsi"/>
          <w:sz w:val="24"/>
          <w:szCs w:val="24"/>
        </w:rPr>
        <w:t>= 0,35 V</w:t>
      </w:r>
      <w:r>
        <w:rPr>
          <w:rFonts w:cstheme="minorHAnsi"/>
          <w:sz w:val="24"/>
          <w:szCs w:val="24"/>
          <w:vertAlign w:val="subscript"/>
        </w:rPr>
        <w:t xml:space="preserve">r </w:t>
      </w:r>
      <w:r>
        <w:rPr>
          <w:rFonts w:cstheme="minorHAnsi"/>
          <w:sz w:val="24"/>
          <w:szCs w:val="24"/>
        </w:rPr>
        <w:t>π L</w:t>
      </w:r>
      <w:r>
        <w:rPr>
          <w:rFonts w:cstheme="minorHAnsi"/>
          <w:sz w:val="24"/>
          <w:szCs w:val="24"/>
          <w:vertAlign w:val="subscript"/>
        </w:rPr>
        <w:t>s</w:t>
      </w:r>
      <w:r>
        <w:rPr>
          <w:rFonts w:cstheme="minorHAnsi"/>
          <w:sz w:val="24"/>
          <w:szCs w:val="24"/>
          <w:vertAlign w:val="superscript"/>
        </w:rPr>
        <w:t>2</w:t>
      </w:r>
      <w:r>
        <w:rPr>
          <w:rFonts w:cstheme="minorHAnsi"/>
          <w:sz w:val="24"/>
          <w:szCs w:val="24"/>
        </w:rPr>
        <w:t xml:space="preserve"> α / 360           [A](14)</w:t>
      </w:r>
    </w:p>
    <w:p w14:paraId="6B92FB47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Dove:</w:t>
      </w:r>
    </w:p>
    <w:p w14:paraId="00BECDFB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f</w:t>
      </w:r>
      <w:r>
        <w:rPr>
          <w:rFonts w:cstheme="minorHAnsi"/>
          <w:sz w:val="24"/>
          <w:szCs w:val="24"/>
          <w:vertAlign w:val="subscript"/>
        </w:rPr>
        <w:t>fu</w:t>
      </w:r>
      <w:r>
        <w:rPr>
          <w:rFonts w:cstheme="minorHAnsi"/>
          <w:sz w:val="24"/>
          <w:szCs w:val="24"/>
        </w:rPr>
        <w:t xml:space="preserve"> = tensione ultima di rottura delle fibre del fiocco in MPa.</w:t>
      </w:r>
    </w:p>
    <w:p w14:paraId="32F0BAF9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A = area del fiocco, in mm².</w:t>
      </w:r>
    </w:p>
    <w:p w14:paraId="5841C36A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k</w:t>
      </w:r>
      <w:r>
        <w:rPr>
          <w:rFonts w:cstheme="minorHAnsi"/>
          <w:sz w:val="24"/>
          <w:szCs w:val="24"/>
          <w:vertAlign w:val="subscript"/>
        </w:rPr>
        <w:t>1</w:t>
      </w:r>
      <w:r>
        <w:rPr>
          <w:rFonts w:cstheme="minorHAnsi"/>
          <w:sz w:val="24"/>
          <w:szCs w:val="24"/>
        </w:rPr>
        <w:t xml:space="preserve"> = 2,3 per fiocchi piegati e k</w:t>
      </w:r>
      <w:r>
        <w:rPr>
          <w:rFonts w:cstheme="minorHAnsi"/>
          <w:sz w:val="24"/>
          <w:szCs w:val="24"/>
          <w:vertAlign w:val="subscript"/>
        </w:rPr>
        <w:t>1</w:t>
      </w:r>
      <w:r>
        <w:rPr>
          <w:rFonts w:cstheme="minorHAnsi"/>
          <w:sz w:val="24"/>
          <w:szCs w:val="24"/>
        </w:rPr>
        <w:t xml:space="preserve"> = 3,1 per fiocchi non piegati.</w:t>
      </w:r>
    </w:p>
    <w:p w14:paraId="6DF2A07F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α = angolo sfiocco in gradi, con 30°  ≤ α ≤ 120°.</w:t>
      </w:r>
    </w:p>
    <w:p w14:paraId="10040859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L</w:t>
      </w:r>
      <w:r>
        <w:rPr>
          <w:rFonts w:cstheme="minorHAnsi"/>
          <w:sz w:val="24"/>
          <w:szCs w:val="24"/>
          <w:vertAlign w:val="subscript"/>
        </w:rPr>
        <w:t>i</w:t>
      </w:r>
      <w:r>
        <w:rPr>
          <w:rFonts w:cstheme="minorHAnsi"/>
          <w:sz w:val="24"/>
          <w:szCs w:val="24"/>
        </w:rPr>
        <w:t xml:space="preserve"> = lunghezza di inghisaggio in mm.</w:t>
      </w:r>
    </w:p>
    <w:p w14:paraId="05C0FA81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f</w:t>
      </w:r>
      <w:r>
        <w:rPr>
          <w:rFonts w:cstheme="minorHAnsi"/>
          <w:sz w:val="24"/>
          <w:szCs w:val="24"/>
          <w:vertAlign w:val="subscript"/>
        </w:rPr>
        <w:t>cm</w:t>
      </w:r>
      <w:r>
        <w:rPr>
          <w:rFonts w:cstheme="minorHAnsi"/>
          <w:sz w:val="24"/>
          <w:szCs w:val="24"/>
        </w:rPr>
        <w:t xml:space="preserve"> = resistenza media a compressione del calcestruzzo in MPa. </w:t>
      </w:r>
    </w:p>
    <w:p w14:paraId="5756D4DE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k</w:t>
      </w:r>
      <w:r>
        <w:rPr>
          <w:rFonts w:cstheme="minorHAnsi"/>
          <w:sz w:val="24"/>
          <w:szCs w:val="24"/>
          <w:vertAlign w:val="subscript"/>
        </w:rPr>
        <w:t>2</w:t>
      </w:r>
      <w:r>
        <w:rPr>
          <w:rFonts w:cstheme="minorHAnsi"/>
          <w:sz w:val="24"/>
          <w:szCs w:val="24"/>
        </w:rPr>
        <w:t xml:space="preserve"> = 4,62 se f</w:t>
      </w:r>
      <w:r>
        <w:rPr>
          <w:rFonts w:cstheme="minorHAnsi"/>
          <w:sz w:val="24"/>
          <w:szCs w:val="24"/>
          <w:vertAlign w:val="subscript"/>
        </w:rPr>
        <w:t>cm</w:t>
      </w:r>
      <w:r>
        <w:rPr>
          <w:rFonts w:cstheme="minorHAnsi"/>
          <w:sz w:val="24"/>
          <w:szCs w:val="24"/>
        </w:rPr>
        <w:t>&lt;  20MPa e k</w:t>
      </w:r>
      <w:r>
        <w:rPr>
          <w:rFonts w:cstheme="minorHAnsi"/>
          <w:sz w:val="24"/>
          <w:szCs w:val="24"/>
          <w:vertAlign w:val="subscript"/>
        </w:rPr>
        <w:t>2</w:t>
      </w:r>
      <w:r>
        <w:rPr>
          <w:rFonts w:cstheme="minorHAnsi"/>
          <w:sz w:val="24"/>
          <w:szCs w:val="24"/>
        </w:rPr>
        <w:t xml:space="preserve"> = 9,07 se f</w:t>
      </w:r>
      <w:r>
        <w:rPr>
          <w:rFonts w:cstheme="minorHAnsi"/>
          <w:sz w:val="24"/>
          <w:szCs w:val="24"/>
          <w:vertAlign w:val="subscript"/>
        </w:rPr>
        <w:t>cm</w:t>
      </w:r>
      <w:r>
        <w:rPr>
          <w:rFonts w:cstheme="minorHAnsi"/>
          <w:sz w:val="24"/>
          <w:szCs w:val="24"/>
        </w:rPr>
        <w:t>≥  20MPa.</w:t>
      </w:r>
    </w:p>
    <w:p w14:paraId="393136B8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d</w:t>
      </w:r>
      <w:r>
        <w:rPr>
          <w:rFonts w:cstheme="minorHAnsi"/>
          <w:sz w:val="24"/>
          <w:szCs w:val="24"/>
          <w:vertAlign w:val="subscript"/>
        </w:rPr>
        <w:t>o</w:t>
      </w:r>
      <w:r>
        <w:rPr>
          <w:rFonts w:cstheme="minorHAnsi"/>
          <w:sz w:val="24"/>
          <w:szCs w:val="24"/>
        </w:rPr>
        <w:t xml:space="preserve"> = diametro del foro in mm.</w:t>
      </w:r>
    </w:p>
    <w:p w14:paraId="300D042A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L</w:t>
      </w:r>
      <w:r>
        <w:rPr>
          <w:rFonts w:cstheme="minorHAnsi"/>
          <w:sz w:val="24"/>
          <w:szCs w:val="24"/>
          <w:vertAlign w:val="subscript"/>
        </w:rPr>
        <w:t>s</w:t>
      </w:r>
      <w:r>
        <w:rPr>
          <w:rFonts w:cstheme="minorHAnsi"/>
          <w:sz w:val="24"/>
          <w:szCs w:val="24"/>
        </w:rPr>
        <w:t xml:space="preserve"> = lunghezza sfiocco in mm.</w:t>
      </w:r>
    </w:p>
    <w:p w14:paraId="7E65987E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   V</w:t>
      </w:r>
      <w:r>
        <w:rPr>
          <w:rFonts w:cstheme="minorHAnsi"/>
          <w:sz w:val="24"/>
          <w:szCs w:val="24"/>
          <w:vertAlign w:val="subscript"/>
        </w:rPr>
        <w:t>r</w:t>
      </w:r>
      <w:r>
        <w:rPr>
          <w:rFonts w:cstheme="minorHAnsi"/>
          <w:sz w:val="24"/>
          <w:szCs w:val="24"/>
        </w:rPr>
        <w:t xml:space="preserve"> = resistenza a taglio della resina in MPa.</w:t>
      </w:r>
    </w:p>
    <w:p w14:paraId="1A9826CB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[A] https://www.researchgate.net/publication/330797017 ; Design approach for FRP spike anchors in FRP-strengthened RC structure, E. del Rey Castillo et al. 2019</w:t>
      </w:r>
    </w:p>
    <w:p w14:paraId="5A14E787" w14:textId="77777777" w:rsidR="00001CA4" w:rsidRDefault="00000000">
      <w:pPr>
        <w:spacing w:line="200" w:lineRule="atLeast"/>
        <w:ind w:left="200" w:right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[B] https://www.researchgate.net/publication/328545566 ; Strengthening RC structures using FRP spike anchors in combination with EBR systems, E. del Rey Castillo et al. 2018</w:t>
      </w:r>
    </w:p>
    <w:p w14:paraId="6F02FF35" w14:textId="77777777" w:rsidR="00001CA4" w:rsidRDefault="00001CA4"/>
    <w:p w14:paraId="610573F0" w14:textId="77777777" w:rsidR="00001CA4" w:rsidRDefault="00000000">
      <w:pPr>
        <w:jc w:val="center"/>
        <w:rPr>
          <w:b/>
          <w:bCs/>
        </w:rPr>
      </w:pPr>
      <w:r>
        <w:rPr>
          <w:b/>
          <w:bCs/>
        </w:rPr>
        <w:t>Test 1: ancoraggio rinforzo longitudinale pilastro.</w:t>
      </w:r>
    </w:p>
    <w:p w14:paraId="293D9661" w14:textId="77777777" w:rsidR="00001CA4" w:rsidRDefault="00000000">
      <w:r>
        <w:t>Il pilastro in oggetto è il pilastro 2 tra il piano 1 e il piano 0</w:t>
      </w:r>
    </w:p>
    <w:p w14:paraId="3ABED910" w14:textId="77777777" w:rsidR="00001CA4" w:rsidRDefault="00000000">
      <w:r>
        <w:rPr>
          <w:noProof/>
        </w:rPr>
        <w:drawing>
          <wp:inline distT="0" distB="0" distL="0" distR="0" wp14:anchorId="52967442" wp14:editId="70F6E09D">
            <wp:extent cx="6120130" cy="2974975"/>
            <wp:effectExtent l="0" t="0" r="0" b="0"/>
            <wp:docPr id="2" name="Immagin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97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99FBC6" w14:textId="77777777" w:rsidR="00001CA4" w:rsidRDefault="00001CA4"/>
    <w:p w14:paraId="1C5CC747" w14:textId="77777777" w:rsidR="00001CA4" w:rsidRDefault="00000000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lastRenderedPageBreak/>
        <w:t xml:space="preserve">Resistenza nastro :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889.69  * 16.4 = 14,590kN</w:t>
      </w:r>
    </w:p>
    <w:p w14:paraId="2E55BB4C" w14:textId="33BDEA58" w:rsidR="00001CA4" w:rsidRDefault="004D6A5B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4D6A5B">
        <w:rPr>
          <w:rFonts w:ascii="Times New Roman" w:eastAsia="Times New Roman" w:hAnsi="Times New Roman" w:cs="Times New Roman"/>
          <w:sz w:val="24"/>
          <w:szCs w:val="24"/>
          <w:lang w:eastAsia="it-IT"/>
        </w:rPr>
        <w:drawing>
          <wp:inline distT="0" distB="0" distL="0" distR="0" wp14:anchorId="17D4128E" wp14:editId="031DF2E8">
            <wp:extent cx="6120130" cy="2104390"/>
            <wp:effectExtent l="0" t="0" r="0" b="0"/>
            <wp:docPr id="145484615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484615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104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FF178C" w14:textId="77777777" w:rsidR="00001CA4" w:rsidRDefault="00001CA4"/>
    <w:p w14:paraId="5624B6A4" w14:textId="16E2F1AA" w:rsidR="004D6A5B" w:rsidRDefault="004D6A5B">
      <w:r w:rsidRPr="004D6A5B">
        <w:drawing>
          <wp:inline distT="0" distB="0" distL="0" distR="0" wp14:anchorId="1B5DB9F0" wp14:editId="75B2E1FC">
            <wp:extent cx="4058216" cy="4686954"/>
            <wp:effectExtent l="0" t="0" r="0" b="0"/>
            <wp:docPr id="173400612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400612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8216" cy="46869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70D88" w14:textId="77777777" w:rsidR="00001CA4" w:rsidRDefault="00001CA4"/>
    <w:p w14:paraId="6D0EF2AB" w14:textId="33688737" w:rsidR="00001CA4" w:rsidRDefault="00001CA4"/>
    <w:p w14:paraId="71808946" w14:textId="77777777" w:rsidR="00001CA4" w:rsidRDefault="00000000">
      <w:r>
        <w:t xml:space="preserve">I valori calcolati da Jasp coincidono con quelli calcolati con un foglio excel. </w:t>
      </w:r>
    </w:p>
    <w:p w14:paraId="6B1F25B5" w14:textId="77777777" w:rsidR="00001CA4" w:rsidRDefault="00001CA4"/>
    <w:sectPr w:rsidR="00001CA4">
      <w:pgSz w:w="11906" w:h="16838"/>
      <w:pgMar w:top="1417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roman"/>
    <w:pitch w:val="variable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FA78CE"/>
    <w:multiLevelType w:val="multilevel"/>
    <w:tmpl w:val="7EDE9CF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9541035"/>
    <w:multiLevelType w:val="multilevel"/>
    <w:tmpl w:val="D18C8C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847401050">
    <w:abstractNumId w:val="0"/>
  </w:num>
  <w:num w:numId="2" w16cid:durableId="14504676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autoHyphenation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CA4"/>
    <w:rsid w:val="00001CA4"/>
    <w:rsid w:val="004D6A5B"/>
    <w:rsid w:val="00C10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5CA8A01"/>
  <w15:docId w15:val="{1CA1F001-EF59-4E62-A485-481D1FC1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gkelc">
    <w:name w:val="hgkelc"/>
    <w:basedOn w:val="Carpredefinitoparagrafo"/>
    <w:qFormat/>
    <w:rsid w:val="007B3485"/>
  </w:style>
  <w:style w:type="character" w:customStyle="1" w:styleId="HyperNo">
    <w:name w:val="Hyper No"/>
    <w:basedOn w:val="Collegamentoipertestuale"/>
    <w:qFormat/>
    <w:rPr>
      <w:color w:val="000080"/>
      <w:u w:val="single"/>
    </w:rPr>
  </w:style>
  <w:style w:type="character" w:styleId="Collegamentoipertestuale">
    <w:name w:val="Hyperlink"/>
    <w:rPr>
      <w:color w:val="000080"/>
      <w:u w:val="single"/>
    </w:rPr>
  </w:style>
  <w:style w:type="character" w:customStyle="1" w:styleId="TitoliinterniText">
    <w:name w:val="Titoli interni Text"/>
    <w:basedOn w:val="Carpredefinitoparagrafo"/>
    <w:qFormat/>
    <w:rPr>
      <w:rFonts w:ascii="Verdana" w:hAnsi="Verdana"/>
      <w:b/>
    </w:rPr>
  </w:style>
  <w:style w:type="character" w:customStyle="1" w:styleId="spazizeroText">
    <w:name w:val="spazi zero Text"/>
    <w:basedOn w:val="Carpredefinitoparagrafo"/>
    <w:qFormat/>
    <w:rPr>
      <w:rFonts w:ascii="Times New Roman" w:hAnsi="Times New Roman"/>
    </w:rPr>
  </w:style>
  <w:style w:type="character" w:customStyle="1" w:styleId="pre10post0Text">
    <w:name w:val="pre 10 post 0 Text"/>
    <w:basedOn w:val="Carpredefinitoparagrafo"/>
    <w:qFormat/>
    <w:rPr>
      <w:rFonts w:ascii="Times New Roman" w:hAnsi="Times New Roman"/>
    </w:rPr>
  </w:style>
  <w:style w:type="character" w:customStyle="1" w:styleId="Caratterinotaapidipagina">
    <w:name w:val="Caratteri nota a piè di pagin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5F2118"/>
    <w:pPr>
      <w:ind w:left="720"/>
      <w:contextualSpacing/>
    </w:pPr>
  </w:style>
  <w:style w:type="paragraph" w:customStyle="1" w:styleId="Titoliinterni">
    <w:name w:val="Titoli interni"/>
    <w:basedOn w:val="Normale"/>
    <w:qFormat/>
    <w:pPr>
      <w:spacing w:before="300" w:after="90"/>
      <w:ind w:left="300"/>
    </w:pPr>
    <w:rPr>
      <w:rFonts w:ascii="Verdana" w:hAnsi="Verdana"/>
      <w:b/>
    </w:rPr>
  </w:style>
  <w:style w:type="paragraph" w:customStyle="1" w:styleId="spazizero">
    <w:name w:val="spazi zero"/>
    <w:basedOn w:val="Normale"/>
    <w:qFormat/>
  </w:style>
  <w:style w:type="paragraph" w:customStyle="1" w:styleId="pre10post0">
    <w:name w:val="pre 10 post 0"/>
    <w:basedOn w:val="Normale"/>
    <w:qFormat/>
    <w:pPr>
      <w:spacing w:before="1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3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Silvestro</dc:creator>
  <dc:description/>
  <cp:lastModifiedBy>Silvestro</cp:lastModifiedBy>
  <cp:revision>35</cp:revision>
  <dcterms:created xsi:type="dcterms:W3CDTF">2024-04-30T07:28:00Z</dcterms:created>
  <dcterms:modified xsi:type="dcterms:W3CDTF">2024-09-24T12:58:00Z</dcterms:modified>
  <dc:language>it-IT</dc:language>
</cp:coreProperties>
</file>